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5D48248" w:rsidR="001A1476" w:rsidRDefault="00E94EEF" w:rsidP="003608DC"/>
    <w:p w14:paraId="6496CB1D" w14:textId="77777777" w:rsidR="003F3869" w:rsidRDefault="003F3869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14:paraId="2515BE12" w14:textId="77777777" w:rsidTr="7BCB9FB5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14:paraId="1E8B8940" w14:textId="77777777"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14:paraId="44AE4302" w14:textId="582A4C39" w:rsidR="003608DC" w:rsidRDefault="7BCB9FB5" w:rsidP="00CF2CF9">
            <w:r>
              <w:t xml:space="preserve">A Level </w:t>
            </w:r>
            <w:r w:rsidR="00D06920">
              <w:t>French</w:t>
            </w:r>
          </w:p>
        </w:tc>
      </w:tr>
      <w:tr w:rsidR="003608DC" w14:paraId="4293A118" w14:textId="77777777" w:rsidTr="7BCB9FB5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6B0788DA" w14:textId="77777777"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14:paraId="767E501F" w14:textId="77777777" w:rsidTr="0044572B">
        <w:trPr>
          <w:trHeight w:val="873"/>
        </w:trPr>
        <w:tc>
          <w:tcPr>
            <w:tcW w:w="10745" w:type="dxa"/>
            <w:gridSpan w:val="2"/>
            <w:vAlign w:val="center"/>
          </w:tcPr>
          <w:p w14:paraId="697A7061" w14:textId="77777777" w:rsidR="00417203" w:rsidRPr="004D5367" w:rsidRDefault="00417203" w:rsidP="00417203">
            <w:pPr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>French at A-Level offers an immersion in authentic language and culture.</w:t>
            </w:r>
          </w:p>
          <w:p w14:paraId="19363001" w14:textId="77777777" w:rsidR="00417203" w:rsidRPr="004D5367" w:rsidRDefault="00417203" w:rsidP="00417203">
            <w:pPr>
              <w:jc w:val="center"/>
              <w:rPr>
                <w:rFonts w:eastAsia="Comic Sans MS" w:cstheme="minorHAnsi"/>
                <w:sz w:val="22"/>
                <w:szCs w:val="22"/>
              </w:rPr>
            </w:pPr>
          </w:p>
          <w:p w14:paraId="5DAB6C7B" w14:textId="47A5AFD3" w:rsidR="003608DC" w:rsidRPr="0044572B" w:rsidRDefault="00417203" w:rsidP="00417203">
            <w:pPr>
              <w:jc w:val="center"/>
              <w:rPr>
                <w:rFonts w:eastAsia="Times New Roman" w:cs="Arial"/>
                <w:color w:val="333333"/>
                <w:lang w:eastAsia="en-GB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 xml:space="preserve">Alongside active, passive and grammatical skills, </w:t>
            </w:r>
            <w:r w:rsidR="00D06920">
              <w:rPr>
                <w:rFonts w:eastAsia="Comic Sans MS" w:cstheme="minorHAnsi"/>
                <w:sz w:val="22"/>
                <w:szCs w:val="22"/>
              </w:rPr>
              <w:t>students</w:t>
            </w:r>
            <w:bookmarkStart w:id="0" w:name="_GoBack"/>
            <w:bookmarkEnd w:id="0"/>
            <w:r w:rsidRPr="004D5367">
              <w:rPr>
                <w:rFonts w:eastAsia="Comic Sans MS" w:cstheme="minorHAnsi"/>
                <w:sz w:val="22"/>
                <w:szCs w:val="22"/>
              </w:rPr>
              <w:t xml:space="preserve"> will develop techniques for essay and summary writing, translations and will study aspects of society and culture through film and </w:t>
            </w:r>
            <w:proofErr w:type="spellStart"/>
            <w:proofErr w:type="gramStart"/>
            <w:r w:rsidRPr="004D5367">
              <w:rPr>
                <w:rFonts w:eastAsia="Comic Sans MS" w:cstheme="minorHAnsi"/>
                <w:sz w:val="22"/>
                <w:szCs w:val="22"/>
              </w:rPr>
              <w:t>literature.</w:t>
            </w:r>
            <w:r w:rsidRPr="004D5367">
              <w:rPr>
                <w:rFonts w:eastAsia="Comic Sans MS" w:cstheme="minorHAnsi"/>
                <w:color w:val="FFFFFF"/>
                <w:sz w:val="22"/>
                <w:szCs w:val="22"/>
              </w:rPr>
              <w:t>o</w:t>
            </w:r>
            <w:proofErr w:type="spellEnd"/>
            <w:proofErr w:type="gramEnd"/>
            <w:r w:rsidRPr="004D5367">
              <w:rPr>
                <w:rFonts w:eastAsia="Comic Sans MS" w:cstheme="minorHAnsi"/>
                <w:color w:val="FFFFFF"/>
                <w:sz w:val="22"/>
                <w:szCs w:val="22"/>
              </w:rPr>
              <w:t xml:space="preserve"> .</w:t>
            </w:r>
          </w:p>
        </w:tc>
      </w:tr>
      <w:tr w:rsidR="003608DC" w14:paraId="58A8C0D2" w14:textId="77777777" w:rsidTr="7BCB9FB5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538ACB55" w14:textId="77777777" w:rsidR="003608DC" w:rsidRPr="0044572B" w:rsidRDefault="003608DC" w:rsidP="003608DC">
            <w:pPr>
              <w:jc w:val="center"/>
            </w:pPr>
            <w:r w:rsidRPr="0044572B">
              <w:t>What will you study?</w:t>
            </w:r>
          </w:p>
        </w:tc>
      </w:tr>
      <w:tr w:rsidR="003608DC" w14:paraId="270BE54F" w14:textId="77777777" w:rsidTr="0044572B">
        <w:trPr>
          <w:trHeight w:val="2842"/>
        </w:trPr>
        <w:tc>
          <w:tcPr>
            <w:tcW w:w="10745" w:type="dxa"/>
            <w:gridSpan w:val="2"/>
            <w:vAlign w:val="center"/>
          </w:tcPr>
          <w:p w14:paraId="406DD0B4" w14:textId="77777777" w:rsidR="00417203" w:rsidRPr="004D5367" w:rsidRDefault="00417203" w:rsidP="00417203">
            <w:pPr>
              <w:shd w:val="clear" w:color="auto" w:fill="FFFFFF"/>
              <w:spacing w:after="200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>The specification constitutes an integrated study with a focus on language, culture and society. You will develop a range of transferable skills including communication, critical thinking, research skills and creativity.</w:t>
            </w:r>
          </w:p>
          <w:p w14:paraId="498831EF" w14:textId="77777777" w:rsidR="00417203" w:rsidRDefault="00417203" w:rsidP="00417203">
            <w:pPr>
              <w:shd w:val="clear" w:color="auto" w:fill="FFFFFF"/>
              <w:spacing w:after="200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17203">
              <w:rPr>
                <w:rFonts w:eastAsia="Comic Sans MS" w:cstheme="minorHAnsi"/>
                <w:sz w:val="22"/>
                <w:szCs w:val="22"/>
                <w:u w:val="single"/>
              </w:rPr>
              <w:t>Core content</w:t>
            </w:r>
            <w:r w:rsidRPr="004D5367">
              <w:rPr>
                <w:rFonts w:eastAsia="Comic Sans MS" w:cstheme="minorHAnsi"/>
                <w:sz w:val="22"/>
                <w:szCs w:val="22"/>
              </w:rPr>
              <w:t xml:space="preserve">: 1. </w:t>
            </w:r>
            <w:hyperlink r:id="rId7">
              <w:r w:rsidRPr="004D5367">
                <w:rPr>
                  <w:rFonts w:eastAsia="Comic Sans MS" w:cstheme="minorHAnsi"/>
                  <w:sz w:val="22"/>
                  <w:szCs w:val="22"/>
                </w:rPr>
                <w:t>Social issues and trends</w:t>
              </w:r>
            </w:hyperlink>
          </w:p>
          <w:p w14:paraId="5126B557" w14:textId="77777777" w:rsidR="00417203" w:rsidRDefault="00417203" w:rsidP="00417203">
            <w:pPr>
              <w:shd w:val="clear" w:color="auto" w:fill="FFFFFF"/>
              <w:spacing w:after="200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 xml:space="preserve">2. </w:t>
            </w:r>
            <w:hyperlink r:id="rId8">
              <w:r w:rsidRPr="004D5367">
                <w:rPr>
                  <w:rFonts w:eastAsia="Comic Sans MS" w:cstheme="minorHAnsi"/>
                  <w:sz w:val="22"/>
                  <w:szCs w:val="22"/>
                </w:rPr>
                <w:t>Political and artistic culture</w:t>
              </w:r>
            </w:hyperlink>
          </w:p>
          <w:p w14:paraId="3962CEB8" w14:textId="0E398EC4" w:rsidR="00417203" w:rsidRPr="004D5367" w:rsidRDefault="00417203" w:rsidP="00417203">
            <w:pPr>
              <w:shd w:val="clear" w:color="auto" w:fill="FFFFFF"/>
              <w:spacing w:after="200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 xml:space="preserve">3. </w:t>
            </w:r>
            <w:hyperlink r:id="rId9">
              <w:r w:rsidRPr="004D5367">
                <w:rPr>
                  <w:rFonts w:eastAsia="Comic Sans MS" w:cstheme="minorHAnsi"/>
                  <w:sz w:val="22"/>
                  <w:szCs w:val="22"/>
                </w:rPr>
                <w:t>Grammar</w:t>
              </w:r>
            </w:hyperlink>
          </w:p>
          <w:p w14:paraId="6A05A809" w14:textId="1EA1478E" w:rsidR="001B6152" w:rsidRPr="0044572B" w:rsidRDefault="00417203" w:rsidP="00417203">
            <w:pPr>
              <w:shd w:val="clear" w:color="auto" w:fill="FFFFFF" w:themeFill="background1"/>
              <w:spacing w:after="75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417203">
              <w:rPr>
                <w:rFonts w:eastAsia="Comic Sans MS" w:cstheme="minorHAnsi"/>
                <w:sz w:val="22"/>
                <w:szCs w:val="22"/>
                <w:u w:val="single"/>
              </w:rPr>
              <w:t>Options</w:t>
            </w:r>
            <w:r w:rsidRPr="004D5367">
              <w:rPr>
                <w:rFonts w:eastAsia="Comic Sans MS" w:cstheme="minorHAnsi"/>
                <w:sz w:val="22"/>
                <w:szCs w:val="22"/>
              </w:rPr>
              <w:t xml:space="preserve">: 4. </w:t>
            </w:r>
            <w:hyperlink r:id="rId10" w:anchor="Literary_texts_and_films">
              <w:r w:rsidRPr="004D5367">
                <w:rPr>
                  <w:rFonts w:eastAsia="Comic Sans MS" w:cstheme="minorHAnsi"/>
                  <w:sz w:val="22"/>
                  <w:szCs w:val="22"/>
                </w:rPr>
                <w:t>Literary texts and films</w:t>
              </w:r>
            </w:hyperlink>
          </w:p>
        </w:tc>
      </w:tr>
      <w:tr w:rsidR="003608DC" w14:paraId="539B7152" w14:textId="77777777" w:rsidTr="7BCB9FB5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1475B0BC" w14:textId="77777777" w:rsidR="003608DC" w:rsidRPr="0044572B" w:rsidRDefault="003608DC" w:rsidP="003608DC">
            <w:pPr>
              <w:jc w:val="center"/>
            </w:pPr>
            <w:r w:rsidRPr="0044572B">
              <w:t>How will you be assessed?</w:t>
            </w:r>
          </w:p>
        </w:tc>
      </w:tr>
      <w:tr w:rsidR="003608DC" w14:paraId="755A9317" w14:textId="77777777" w:rsidTr="0044572B">
        <w:trPr>
          <w:trHeight w:val="1097"/>
        </w:trPr>
        <w:tc>
          <w:tcPr>
            <w:tcW w:w="10745" w:type="dxa"/>
            <w:gridSpan w:val="2"/>
            <w:vAlign w:val="center"/>
          </w:tcPr>
          <w:p w14:paraId="01CC1148" w14:textId="3282DDB0" w:rsidR="00417203" w:rsidRPr="004D5367" w:rsidRDefault="00417203" w:rsidP="00417203">
            <w:pPr>
              <w:shd w:val="clear" w:color="auto" w:fill="FFFFFF"/>
              <w:spacing w:after="200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  <w:highlight w:val="white"/>
              </w:rPr>
              <w:t>The AQA specification is used. At A2, communication and comprehension skills are stressed and written accuracy is a major element in our integrated study of language skills.</w:t>
            </w:r>
          </w:p>
          <w:p w14:paraId="14BEFEBE" w14:textId="617F74AE" w:rsidR="001B6152" w:rsidRPr="0044572B" w:rsidRDefault="00417203" w:rsidP="00417203">
            <w:pPr>
              <w:jc w:val="center"/>
            </w:pPr>
            <w:r w:rsidRPr="004D5367">
              <w:rPr>
                <w:rFonts w:eastAsia="Comic Sans MS" w:cstheme="minorHAnsi"/>
                <w:sz w:val="22"/>
                <w:szCs w:val="22"/>
              </w:rPr>
              <w:t>This qualification is linear which means that students will sit all exams at the end of the course.</w:t>
            </w:r>
          </w:p>
        </w:tc>
      </w:tr>
      <w:tr w:rsidR="003608DC" w14:paraId="2073AD73" w14:textId="77777777" w:rsidTr="7BCB9FB5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264F12CA" w14:textId="77777777" w:rsidR="003608DC" w:rsidRPr="0044572B" w:rsidRDefault="003608DC" w:rsidP="003608DC">
            <w:pPr>
              <w:jc w:val="center"/>
            </w:pPr>
            <w:r w:rsidRPr="0044572B">
              <w:t>What wider skills will you develop?</w:t>
            </w:r>
          </w:p>
        </w:tc>
      </w:tr>
      <w:tr w:rsidR="003608DC" w14:paraId="03635474" w14:textId="77777777" w:rsidTr="0044572B">
        <w:trPr>
          <w:trHeight w:val="1282"/>
        </w:trPr>
        <w:tc>
          <w:tcPr>
            <w:tcW w:w="10745" w:type="dxa"/>
            <w:gridSpan w:val="2"/>
            <w:vAlign w:val="center"/>
          </w:tcPr>
          <w:p w14:paraId="41C8F396" w14:textId="34069EEB" w:rsidR="001B6152" w:rsidRPr="0044572B" w:rsidRDefault="00417203" w:rsidP="00417203">
            <w:pPr>
              <w:jc w:val="center"/>
            </w:pPr>
            <w:r w:rsidRPr="004D5367">
              <w:rPr>
                <w:rFonts w:eastAsia="Comic Sans MS" w:cstheme="minorHAnsi"/>
                <w:sz w:val="22"/>
                <w:szCs w:val="22"/>
              </w:rPr>
              <w:t>Communication, including reading, writing and speaking foreign languages; gathering, assessing and interpreting information; leading and participating in discussions and groups; conveying meaning precisely; presentation; responding to others – from discussions in oral classes; attention to detail; boost in personal confidence and independence; listening to other people; resilience.</w:t>
            </w:r>
          </w:p>
        </w:tc>
      </w:tr>
      <w:tr w:rsidR="003608DC" w14:paraId="6979C56C" w14:textId="77777777" w:rsidTr="0044572B">
        <w:trPr>
          <w:trHeight w:val="69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598583D1" w14:textId="77777777" w:rsidR="003608DC" w:rsidRPr="0044572B" w:rsidRDefault="003608DC" w:rsidP="003608DC">
            <w:pPr>
              <w:jc w:val="center"/>
            </w:pPr>
            <w:r w:rsidRPr="0044572B">
              <w:t>What are the future options from the course?</w:t>
            </w:r>
          </w:p>
        </w:tc>
      </w:tr>
      <w:tr w:rsidR="003608DC" w14:paraId="2C6E908B" w14:textId="77777777" w:rsidTr="0044572B">
        <w:trPr>
          <w:trHeight w:val="1130"/>
        </w:trPr>
        <w:tc>
          <w:tcPr>
            <w:tcW w:w="10745" w:type="dxa"/>
            <w:gridSpan w:val="2"/>
            <w:vAlign w:val="center"/>
          </w:tcPr>
          <w:p w14:paraId="48423B73" w14:textId="10D6C90F" w:rsidR="00417203" w:rsidRPr="004D5367" w:rsidRDefault="00417203" w:rsidP="00417203">
            <w:pPr>
              <w:shd w:val="clear" w:color="auto" w:fill="FFFFFF"/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>Exchange programmes; Erasmus schemes; Work placements as part of sandwich degrees.</w:t>
            </w:r>
          </w:p>
          <w:p w14:paraId="508A272B" w14:textId="2D900777" w:rsidR="00BD1F8E" w:rsidRPr="0044572B" w:rsidRDefault="00417203" w:rsidP="00417203">
            <w:pPr>
              <w:jc w:val="center"/>
            </w:pPr>
            <w:r w:rsidRPr="004D5367">
              <w:rPr>
                <w:rFonts w:eastAsia="Comic Sans MS" w:cstheme="minorHAnsi"/>
                <w:sz w:val="22"/>
                <w:szCs w:val="22"/>
              </w:rPr>
              <w:t>Acquiring a secondary language will compl</w:t>
            </w:r>
            <w:r>
              <w:rPr>
                <w:rFonts w:eastAsia="Comic Sans MS" w:cstheme="minorHAnsi"/>
                <w:sz w:val="22"/>
                <w:szCs w:val="22"/>
              </w:rPr>
              <w:t>e</w:t>
            </w:r>
            <w:r w:rsidRPr="004D5367">
              <w:rPr>
                <w:rFonts w:eastAsia="Comic Sans MS" w:cstheme="minorHAnsi"/>
                <w:sz w:val="22"/>
                <w:szCs w:val="22"/>
              </w:rPr>
              <w:t xml:space="preserve">ment a career as: </w:t>
            </w:r>
            <w:hyperlink r:id="rId11">
              <w:r w:rsidRPr="004D5367">
                <w:rPr>
                  <w:rFonts w:eastAsia="Comic Sans MS" w:cstheme="minorHAnsi"/>
                  <w:sz w:val="22"/>
                  <w:szCs w:val="22"/>
                </w:rPr>
                <w:t>Academic researcher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; </w:t>
            </w:r>
            <w:hyperlink r:id="rId12">
              <w:r w:rsidRPr="004D5367">
                <w:rPr>
                  <w:rFonts w:eastAsia="Comic Sans MS" w:cstheme="minorHAnsi"/>
                  <w:sz w:val="22"/>
                  <w:szCs w:val="22"/>
                </w:rPr>
                <w:t>Interpreter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; </w:t>
            </w:r>
            <w:hyperlink r:id="rId13">
              <w:r w:rsidRPr="004D5367">
                <w:rPr>
                  <w:rFonts w:eastAsia="Comic Sans MS" w:cstheme="minorHAnsi"/>
                  <w:sz w:val="22"/>
                  <w:szCs w:val="22"/>
                </w:rPr>
                <w:t>Political risk analyst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; </w:t>
            </w:r>
            <w:hyperlink r:id="rId14">
              <w:r w:rsidRPr="004D5367">
                <w:rPr>
                  <w:rFonts w:eastAsia="Comic Sans MS" w:cstheme="minorHAnsi"/>
                  <w:sz w:val="22"/>
                  <w:szCs w:val="22"/>
                </w:rPr>
                <w:t>Secondary school teacher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; </w:t>
            </w:r>
            <w:hyperlink r:id="rId15">
              <w:r w:rsidRPr="004D5367">
                <w:rPr>
                  <w:rFonts w:eastAsia="Comic Sans MS" w:cstheme="minorHAnsi"/>
                  <w:sz w:val="22"/>
                  <w:szCs w:val="22"/>
                </w:rPr>
                <w:t>Translator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>;</w:t>
            </w:r>
            <w:bookmarkStart w:id="1" w:name="_heading=h.p7okp1dknffp" w:colFirst="0" w:colLast="0"/>
            <w:bookmarkEnd w:id="1"/>
            <w:r w:rsidRPr="004D5367">
              <w:rPr>
                <w:rFonts w:eastAsia="Comic Sans MS" w:cstheme="minorHAnsi"/>
                <w:sz w:val="22"/>
                <w:szCs w:val="22"/>
              </w:rPr>
              <w:t xml:space="preserve"> International development worker; </w:t>
            </w:r>
            <w:bookmarkStart w:id="2" w:name="_heading=h.uuqve5mzj01p" w:colFirst="0" w:colLast="0"/>
            <w:bookmarkEnd w:id="2"/>
            <w:r w:rsidRPr="004D5367">
              <w:rPr>
                <w:rFonts w:eastAsia="Comic Sans MS" w:cstheme="minorHAnsi"/>
                <w:sz w:val="22"/>
                <w:szCs w:val="22"/>
              </w:rPr>
              <w:t xml:space="preserve">Marketing, advertising and </w:t>
            </w:r>
            <w:r>
              <w:rPr>
                <w:rFonts w:eastAsia="Comic Sans MS" w:cstheme="minorHAnsi"/>
                <w:sz w:val="22"/>
                <w:szCs w:val="22"/>
              </w:rPr>
              <w:t>PR;</w:t>
            </w:r>
            <w:r w:rsidRPr="004D5367">
              <w:rPr>
                <w:rFonts w:eastAsia="Comic Sans MS" w:cstheme="minorHAnsi"/>
                <w:sz w:val="22"/>
                <w:szCs w:val="22"/>
              </w:rPr>
              <w:t xml:space="preserve"> </w:t>
            </w:r>
            <w:bookmarkStart w:id="3" w:name="_heading=h.6erfua4cv6vi" w:colFirst="0" w:colLast="0"/>
            <w:bookmarkEnd w:id="3"/>
            <w:r w:rsidRPr="004D5367">
              <w:rPr>
                <w:rFonts w:eastAsia="Comic Sans MS" w:cstheme="minorHAnsi"/>
                <w:sz w:val="22"/>
                <w:szCs w:val="22"/>
              </w:rPr>
              <w:t>Diplomacy;</w:t>
            </w:r>
            <w:bookmarkStart w:id="4" w:name="_heading=h.mkw7v37sjbab" w:colFirst="0" w:colLast="0"/>
            <w:bookmarkEnd w:id="4"/>
            <w:r w:rsidRPr="004D5367">
              <w:rPr>
                <w:rFonts w:eastAsia="Comic Sans MS" w:cstheme="minorHAnsi"/>
                <w:sz w:val="22"/>
                <w:szCs w:val="22"/>
              </w:rPr>
              <w:t xml:space="preserve"> </w:t>
            </w:r>
            <w:r>
              <w:rPr>
                <w:rFonts w:eastAsia="Comic Sans MS" w:cstheme="minorHAnsi"/>
                <w:sz w:val="22"/>
                <w:szCs w:val="22"/>
              </w:rPr>
              <w:t xml:space="preserve">Broadcast </w:t>
            </w:r>
            <w:r w:rsidRPr="004D5367">
              <w:rPr>
                <w:rFonts w:eastAsia="Comic Sans MS" w:cstheme="minorHAnsi"/>
                <w:sz w:val="22"/>
                <w:szCs w:val="22"/>
              </w:rPr>
              <w:t xml:space="preserve"> journalist; </w:t>
            </w:r>
            <w:bookmarkStart w:id="5" w:name="_heading=h.xhyu5zxahgzl" w:colFirst="0" w:colLast="0"/>
            <w:bookmarkEnd w:id="5"/>
            <w:r w:rsidRPr="004D5367">
              <w:rPr>
                <w:rFonts w:eastAsia="Comic Sans MS" w:cstheme="minorHAnsi"/>
                <w:sz w:val="22"/>
                <w:szCs w:val="22"/>
              </w:rPr>
              <w:t xml:space="preserve">Business, logistics and finance; </w:t>
            </w:r>
            <w:hyperlink r:id="rId16">
              <w:r w:rsidRPr="004D5367">
                <w:rPr>
                  <w:rFonts w:eastAsia="Comic Sans MS" w:cstheme="minorHAnsi"/>
                  <w:sz w:val="22"/>
                  <w:szCs w:val="22"/>
                </w:rPr>
                <w:t>Education consultant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; </w:t>
            </w:r>
            <w:hyperlink r:id="rId17">
              <w:r w:rsidRPr="004D5367">
                <w:rPr>
                  <w:rFonts w:eastAsia="Comic Sans MS" w:cstheme="minorHAnsi"/>
                  <w:sz w:val="22"/>
                  <w:szCs w:val="22"/>
                </w:rPr>
                <w:t>English as a foreign language teacher</w:t>
              </w:r>
            </w:hyperlink>
          </w:p>
        </w:tc>
      </w:tr>
      <w:tr w:rsidR="003608DC" w14:paraId="5EE8783C" w14:textId="77777777" w:rsidTr="7BCB9FB5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1F625265" w14:textId="77777777"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14:paraId="38152028" w14:textId="77777777" w:rsidTr="0044572B">
        <w:trPr>
          <w:trHeight w:val="995"/>
        </w:trPr>
        <w:tc>
          <w:tcPr>
            <w:tcW w:w="10745" w:type="dxa"/>
            <w:gridSpan w:val="2"/>
            <w:vAlign w:val="center"/>
          </w:tcPr>
          <w:p w14:paraId="7BB8E26A" w14:textId="77777777" w:rsidR="00D06920" w:rsidRPr="004D5367" w:rsidRDefault="00D06920" w:rsidP="00D06920">
            <w:pPr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>The Course Leader is:</w:t>
            </w:r>
          </w:p>
          <w:p w14:paraId="7ED2ECBF" w14:textId="77777777" w:rsidR="00D06920" w:rsidRPr="004D5367" w:rsidRDefault="00D06920" w:rsidP="00D06920">
            <w:pPr>
              <w:jc w:val="center"/>
              <w:rPr>
                <w:rFonts w:eastAsia="Comic Sans MS" w:cstheme="minorHAnsi"/>
                <w:sz w:val="22"/>
                <w:szCs w:val="22"/>
              </w:rPr>
            </w:pPr>
            <w:r w:rsidRPr="004D5367">
              <w:rPr>
                <w:rFonts w:eastAsia="Comic Sans MS" w:cstheme="minorHAnsi"/>
                <w:sz w:val="22"/>
                <w:szCs w:val="22"/>
              </w:rPr>
              <w:t xml:space="preserve">Mrs I. Chirchi: </w:t>
            </w:r>
            <w:hyperlink r:id="rId18">
              <w:r w:rsidRPr="004D5367">
                <w:rPr>
                  <w:rFonts w:eastAsia="Comic Sans MS" w:cstheme="minorHAnsi"/>
                  <w:color w:val="1155CC"/>
                  <w:sz w:val="22"/>
                  <w:szCs w:val="22"/>
                  <w:u w:val="single"/>
                </w:rPr>
                <w:t>Isilda.Chirchi@verulam.herts.sch.uk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 (Head of Department)</w:t>
            </w:r>
          </w:p>
          <w:p w14:paraId="66D39F7A" w14:textId="7CD15F7B" w:rsidR="003608DC" w:rsidRDefault="00D06920" w:rsidP="00D06920">
            <w:pPr>
              <w:jc w:val="center"/>
            </w:pPr>
            <w:r w:rsidRPr="004D5367">
              <w:rPr>
                <w:rFonts w:eastAsia="Comic Sans MS" w:cstheme="minorHAnsi"/>
                <w:sz w:val="22"/>
                <w:szCs w:val="22"/>
              </w:rPr>
              <w:t xml:space="preserve">Mrs </w:t>
            </w:r>
            <w:proofErr w:type="spellStart"/>
            <w:proofErr w:type="gramStart"/>
            <w:r w:rsidRPr="004D5367">
              <w:rPr>
                <w:rFonts w:eastAsia="Comic Sans MS" w:cstheme="minorHAnsi"/>
                <w:sz w:val="22"/>
                <w:szCs w:val="22"/>
              </w:rPr>
              <w:t>J.Berriel</w:t>
            </w:r>
            <w:proofErr w:type="spellEnd"/>
            <w:proofErr w:type="gramEnd"/>
            <w:r w:rsidRPr="004D5367">
              <w:rPr>
                <w:rFonts w:eastAsia="Comic Sans MS" w:cstheme="minorHAnsi"/>
                <w:sz w:val="22"/>
                <w:szCs w:val="22"/>
              </w:rPr>
              <w:t xml:space="preserve">-Evora: </w:t>
            </w:r>
            <w:hyperlink r:id="rId19">
              <w:r w:rsidRPr="004D5367">
                <w:rPr>
                  <w:rFonts w:eastAsia="Comic Sans MS" w:cstheme="minorHAnsi"/>
                  <w:color w:val="1155CC"/>
                  <w:sz w:val="22"/>
                  <w:szCs w:val="22"/>
                  <w:u w:val="single"/>
                </w:rPr>
                <w:t>juana.berrielevora@verulam.herts.sch.uk</w:t>
              </w:r>
            </w:hyperlink>
            <w:r w:rsidRPr="004D5367">
              <w:rPr>
                <w:rFonts w:eastAsia="Comic Sans MS" w:cstheme="minorHAnsi"/>
                <w:sz w:val="22"/>
                <w:szCs w:val="22"/>
              </w:rPr>
              <w:t xml:space="preserve"> (Second in Department)</w:t>
            </w:r>
          </w:p>
        </w:tc>
      </w:tr>
    </w:tbl>
    <w:p w14:paraId="72A3D3EC" w14:textId="77777777" w:rsidR="003608DC" w:rsidRDefault="003608DC" w:rsidP="003608DC"/>
    <w:sectPr w:rsidR="003608DC" w:rsidSect="003608DC">
      <w:headerReference w:type="default" r:id="rId20"/>
      <w:footerReference w:type="default" r:id="rId2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DA41" w14:textId="77777777" w:rsidR="00B673FA" w:rsidRDefault="00B673FA" w:rsidP="003608DC">
      <w:r>
        <w:separator/>
      </w:r>
    </w:p>
  </w:endnote>
  <w:endnote w:type="continuationSeparator" w:id="0">
    <w:p w14:paraId="07BD2E78" w14:textId="77777777" w:rsidR="00B673FA" w:rsidRDefault="00B673FA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6152200"/>
  <w:p w14:paraId="7753E24A" w14:textId="77777777" w:rsidR="00425ADE" w:rsidRPr="00A47C4B" w:rsidRDefault="00425ADE" w:rsidP="00425ADE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8D7F4" wp14:editId="4EB176A5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5BFEF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14:paraId="681D2997" w14:textId="62FBBFB1" w:rsidR="00425ADE" w:rsidRPr="00A47C4B" w:rsidRDefault="00425ADE" w:rsidP="007927DA">
    <w:pPr>
      <w:pStyle w:val="Footer"/>
      <w:jc w:val="center"/>
      <w:rPr>
        <w:color w:val="FFFFFF" w:themeColor="background1"/>
      </w:rPr>
    </w:pPr>
    <w:r w:rsidRPr="00A47C4B">
      <w:rPr>
        <w:color w:val="FFFFFF" w:themeColor="background1"/>
      </w:rPr>
      <w:t xml:space="preserve">Mr Stephen Base (Head of Sixth Form) at </w:t>
    </w:r>
    <w:hyperlink r:id="rId1" w:history="1">
      <w:r w:rsidR="00D56DA3" w:rsidRPr="00D56DA3">
        <w:rPr>
          <w:rStyle w:val="Hyperlink"/>
          <w:color w:val="FFFFFF" w:themeColor="background1"/>
        </w:rPr>
        <w:t>Stephen.Base@Verulam.herts.sch.uk</w:t>
      </w:r>
    </w:hyperlink>
    <w:r w:rsidRPr="00D56DA3">
      <w:rPr>
        <w:color w:val="FFFFFF" w:themeColor="background1"/>
      </w:rPr>
      <w:t xml:space="preserve"> or</w:t>
    </w:r>
  </w:p>
  <w:p w14:paraId="45C637F4" w14:textId="6FC81544" w:rsidR="003608DC" w:rsidRPr="00D56DA3" w:rsidRDefault="00425ADE" w:rsidP="007927DA">
    <w:pPr>
      <w:pStyle w:val="Footer"/>
      <w:jc w:val="center"/>
      <w:rPr>
        <w:color w:val="FFFFFF" w:themeColor="background1"/>
      </w:rPr>
    </w:pPr>
    <w:r w:rsidRPr="00A47C4B">
      <w:rPr>
        <w:color w:val="FFFFFF" w:themeColor="background1"/>
      </w:rPr>
      <w:t xml:space="preserve">Mrs </w:t>
    </w:r>
    <w:r w:rsidR="00D56DA3">
      <w:rPr>
        <w:color w:val="FFFFFF" w:themeColor="background1"/>
      </w:rPr>
      <w:t>Nele Destickere</w:t>
    </w:r>
    <w:r w:rsidRPr="00A47C4B">
      <w:rPr>
        <w:color w:val="FFFFFF" w:themeColor="background1"/>
      </w:rPr>
      <w:t xml:space="preserve"> (</w:t>
    </w:r>
    <w:r w:rsidR="00D56DA3">
      <w:rPr>
        <w:color w:val="FFFFFF" w:themeColor="background1"/>
      </w:rPr>
      <w:t xml:space="preserve">KS5 </w:t>
    </w:r>
    <w:r w:rsidR="00D56DA3" w:rsidRPr="00D56DA3">
      <w:rPr>
        <w:color w:val="FFFFFF" w:themeColor="background1"/>
      </w:rPr>
      <w:t>Administration</w:t>
    </w:r>
    <w:r w:rsidRPr="00D56DA3">
      <w:rPr>
        <w:color w:val="FFFFFF" w:themeColor="background1"/>
      </w:rPr>
      <w:t xml:space="preserve">) at </w:t>
    </w:r>
    <w:hyperlink r:id="rId2" w:history="1">
      <w:r w:rsidR="00D56DA3" w:rsidRPr="00D56DA3">
        <w:rPr>
          <w:rStyle w:val="Hyperlink"/>
          <w:color w:val="FFFFFF" w:themeColor="background1"/>
        </w:rPr>
        <w:t>nele.destickere@verulam.herts.sch.uk</w:t>
      </w:r>
    </w:hyperlink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DBB4" w14:textId="77777777" w:rsidR="00B673FA" w:rsidRDefault="00B673FA" w:rsidP="003608DC">
      <w:r>
        <w:separator/>
      </w:r>
    </w:p>
  </w:footnote>
  <w:footnote w:type="continuationSeparator" w:id="0">
    <w:p w14:paraId="636FDA62" w14:textId="77777777" w:rsidR="00B673FA" w:rsidRDefault="00B673FA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5F7E" w14:textId="1A1F0184"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38F4DB" wp14:editId="07777777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24E5C6B">
            <v:rect id="Rectangle 2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63141" strokecolor="#1f3763 [1604]" strokeweight="1pt" w14:anchorId="204640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 wp14:editId="07777777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3F3869">
      <w:rPr>
        <w:color w:val="FFFFFF" w:themeColor="background1"/>
        <w:sz w:val="28"/>
        <w:szCs w:val="28"/>
      </w:rPr>
      <w:tab/>
    </w:r>
    <w:r w:rsidR="003F3869">
      <w:rPr>
        <w:color w:val="FFFFFF" w:themeColor="background1"/>
        <w:sz w:val="28"/>
        <w:szCs w:val="28"/>
      </w:rPr>
      <w:tab/>
    </w:r>
    <w:r w:rsidR="003F3869">
      <w:rPr>
        <w:color w:val="FFFFFF" w:themeColor="background1"/>
        <w:sz w:val="28"/>
        <w:szCs w:val="28"/>
      </w:rPr>
      <w:tab/>
    </w:r>
    <w:r w:rsidR="003F3869">
      <w:rPr>
        <w:color w:val="FFFFFF" w:themeColor="background1"/>
        <w:sz w:val="28"/>
        <w:szCs w:val="28"/>
      </w:rPr>
      <w:tab/>
    </w:r>
    <w:r w:rsidR="003F3869">
      <w:rPr>
        <w:color w:val="FFFFFF" w:themeColor="background1"/>
        <w:sz w:val="28"/>
        <w:szCs w:val="28"/>
      </w:rPr>
      <w:tab/>
    </w:r>
    <w:r w:rsidR="001C762F">
      <w:rPr>
        <w:color w:val="FFFFFF" w:themeColor="background1"/>
        <w:sz w:val="28"/>
        <w:szCs w:val="28"/>
      </w:rPr>
      <w:t>French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66A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9BB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145D"/>
    <w:multiLevelType w:val="hybridMultilevel"/>
    <w:tmpl w:val="59D81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DC"/>
    <w:rsid w:val="00126AB5"/>
    <w:rsid w:val="001606B7"/>
    <w:rsid w:val="001B6152"/>
    <w:rsid w:val="001C762F"/>
    <w:rsid w:val="003202FF"/>
    <w:rsid w:val="003608DC"/>
    <w:rsid w:val="003F3869"/>
    <w:rsid w:val="00417203"/>
    <w:rsid w:val="00425ADE"/>
    <w:rsid w:val="0044572B"/>
    <w:rsid w:val="005113F1"/>
    <w:rsid w:val="00526A43"/>
    <w:rsid w:val="0065414B"/>
    <w:rsid w:val="007927DA"/>
    <w:rsid w:val="007C699E"/>
    <w:rsid w:val="00834FE7"/>
    <w:rsid w:val="00AB5545"/>
    <w:rsid w:val="00B02373"/>
    <w:rsid w:val="00B673FA"/>
    <w:rsid w:val="00BD03EE"/>
    <w:rsid w:val="00BD1F8E"/>
    <w:rsid w:val="00CD719B"/>
    <w:rsid w:val="00CF2CF9"/>
    <w:rsid w:val="00D06920"/>
    <w:rsid w:val="00D56DA3"/>
    <w:rsid w:val="00E94EEF"/>
    <w:rsid w:val="7BCB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BA223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F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15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languages/as-and-a-level/french-7652/subject-content/political-and-artistic-culture" TargetMode="External"/><Relationship Id="rId13" Type="http://schemas.openxmlformats.org/officeDocument/2006/relationships/hyperlink" Target="https://www.prospects.ac.uk/job-profiles/political-risk-analyst" TargetMode="External"/><Relationship Id="rId18" Type="http://schemas.openxmlformats.org/officeDocument/2006/relationships/hyperlink" Target="mailto:Isilda.Chirchi@verulam.herts.sch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qa.org.uk/subjects/languages/as-and-a-level/french-7652/subject-content/social-issues-and-trends" TargetMode="External"/><Relationship Id="rId12" Type="http://schemas.openxmlformats.org/officeDocument/2006/relationships/hyperlink" Target="https://www.prospects.ac.uk/job-profiles/interpreter" TargetMode="External"/><Relationship Id="rId17" Type="http://schemas.openxmlformats.org/officeDocument/2006/relationships/hyperlink" Target="https://www.prospects.ac.uk/job-profiles/english-as-a-foreign-language-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spects.ac.uk/job-profiles/education-consulta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job-profiles/academic-research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spects.ac.uk/job-profiles/translat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qa.org.uk/subjects/languages/as-and-a-level/french-7652/subject-content/works" TargetMode="External"/><Relationship Id="rId19" Type="http://schemas.openxmlformats.org/officeDocument/2006/relationships/hyperlink" Target="mailto:juana.berrielevora@verulam.her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languages/as-and-a-level/french-7652/subject-content/grammar" TargetMode="External"/><Relationship Id="rId14" Type="http://schemas.openxmlformats.org/officeDocument/2006/relationships/hyperlink" Target="https://www.prospects.ac.uk/job-profiles/secondary-school-teache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4</cp:revision>
  <cp:lastPrinted>2020-11-13T09:30:00Z</cp:lastPrinted>
  <dcterms:created xsi:type="dcterms:W3CDTF">2020-11-20T09:34:00Z</dcterms:created>
  <dcterms:modified xsi:type="dcterms:W3CDTF">2020-11-20T09:54:00Z</dcterms:modified>
</cp:coreProperties>
</file>