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C24DF" w14:textId="77777777" w:rsidR="004B19A9" w:rsidRDefault="004B19A9" w:rsidP="004B19A9">
      <w:pPr>
        <w:pStyle w:val="NoSpacing"/>
        <w:pBdr>
          <w:top w:val="single" w:sz="4" w:space="1" w:color="auto"/>
          <w:bottom w:val="single" w:sz="4" w:space="1" w:color="auto"/>
        </w:pBdr>
      </w:pPr>
      <w:bookmarkStart w:id="0" w:name="_GoBack"/>
      <w:bookmarkEnd w:id="0"/>
    </w:p>
    <w:p w14:paraId="296F746D" w14:textId="77777777" w:rsidR="00DE11B2" w:rsidRDefault="001667EF" w:rsidP="004B19A9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b/>
        </w:rPr>
      </w:pPr>
      <w:r w:rsidRPr="001667E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181D1AF" wp14:editId="2C55F03B">
            <wp:simplePos x="0" y="0"/>
            <wp:positionH relativeFrom="margin">
              <wp:posOffset>2556428</wp:posOffset>
            </wp:positionH>
            <wp:positionV relativeFrom="paragraph">
              <wp:posOffset>10803</wp:posOffset>
            </wp:positionV>
            <wp:extent cx="807085" cy="735965"/>
            <wp:effectExtent l="0" t="0" r="0" b="6985"/>
            <wp:wrapTight wrapText="bothSides">
              <wp:wrapPolygon edited="0">
                <wp:start x="0" y="0"/>
                <wp:lineTo x="0" y="21246"/>
                <wp:lineTo x="20903" y="21246"/>
                <wp:lineTo x="20903" y="0"/>
                <wp:lineTo x="0" y="0"/>
              </wp:wrapPolygon>
            </wp:wrapTight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24547" w14:textId="77777777" w:rsidR="00DE11B2" w:rsidRDefault="00DE11B2" w:rsidP="004B19A9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b/>
        </w:rPr>
      </w:pPr>
    </w:p>
    <w:p w14:paraId="24B879CE" w14:textId="77777777" w:rsidR="001667EF" w:rsidRDefault="001667EF" w:rsidP="00DE11B2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b/>
        </w:rPr>
      </w:pPr>
    </w:p>
    <w:p w14:paraId="5425927A" w14:textId="77777777" w:rsidR="001667EF" w:rsidRDefault="001667EF" w:rsidP="00DE11B2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b/>
        </w:rPr>
      </w:pPr>
    </w:p>
    <w:p w14:paraId="40712677" w14:textId="77777777" w:rsidR="001667EF" w:rsidRDefault="001667EF" w:rsidP="00DE11B2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b/>
        </w:rPr>
      </w:pPr>
    </w:p>
    <w:p w14:paraId="4FDD7C65" w14:textId="77777777" w:rsidR="00192AC4" w:rsidRDefault="00861DB8" w:rsidP="00DE11B2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b/>
        </w:rPr>
      </w:pPr>
      <w:r>
        <w:rPr>
          <w:b/>
        </w:rPr>
        <w:t>BSV EDUCATION TRUST</w:t>
      </w:r>
    </w:p>
    <w:p w14:paraId="7EFA0E5F" w14:textId="77777777" w:rsidR="00861DB8" w:rsidRPr="0038475E" w:rsidRDefault="00861DB8" w:rsidP="00DE11B2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b/>
        </w:rPr>
      </w:pPr>
      <w:r>
        <w:rPr>
          <w:b/>
        </w:rPr>
        <w:t>SIXTH FORM PROGRESSION CRITERIA</w:t>
      </w:r>
    </w:p>
    <w:p w14:paraId="5A0650FD" w14:textId="77777777" w:rsidR="004B19A9" w:rsidRDefault="004B19A9" w:rsidP="004B19A9">
      <w:pPr>
        <w:pStyle w:val="NoSpacing"/>
        <w:pBdr>
          <w:top w:val="single" w:sz="4" w:space="1" w:color="auto"/>
          <w:bottom w:val="single" w:sz="4" w:space="1" w:color="auto"/>
        </w:pBdr>
      </w:pPr>
    </w:p>
    <w:p w14:paraId="3F5DEB21" w14:textId="77777777" w:rsidR="004B19A9" w:rsidRDefault="004B19A9" w:rsidP="004B19A9">
      <w:pPr>
        <w:pStyle w:val="NoSpacing"/>
        <w:ind w:left="360"/>
      </w:pPr>
    </w:p>
    <w:p w14:paraId="11121613" w14:textId="77777777" w:rsidR="00861DB8" w:rsidRPr="00F36F51" w:rsidRDefault="00861DB8" w:rsidP="00861DB8">
      <w:pPr>
        <w:jc w:val="center"/>
        <w:rPr>
          <w:b/>
        </w:rPr>
      </w:pPr>
    </w:p>
    <w:p w14:paraId="7DE59C82" w14:textId="77777777" w:rsidR="00861DB8" w:rsidRDefault="00861DB8" w:rsidP="00861DB8">
      <w:pPr>
        <w:pStyle w:val="NoSpacing"/>
        <w:numPr>
          <w:ilvl w:val="0"/>
          <w:numId w:val="8"/>
        </w:numPr>
        <w:jc w:val="both"/>
      </w:pPr>
      <w:r>
        <w:t xml:space="preserve">Year 12 students are able to progress into Year 13, provided that they have met the attendance criteria of </w:t>
      </w:r>
      <w:r w:rsidRPr="00CD52C9">
        <w:rPr>
          <w:b/>
        </w:rPr>
        <w:t>at least 85% overall attendance for the year</w:t>
      </w:r>
      <w:r>
        <w:t>, taking into account</w:t>
      </w:r>
      <w:r w:rsidRPr="0037761E">
        <w:t xml:space="preserve"> all timetabled activities.</w:t>
      </w:r>
      <w:r>
        <w:t xml:space="preserve"> (Please note that students may be excluded in accordance with the usual procedures for pupil exclusion, in cases of poor behaviour.)</w:t>
      </w:r>
    </w:p>
    <w:p w14:paraId="6CB21D9C" w14:textId="77777777" w:rsidR="00861DB8" w:rsidRDefault="00861DB8" w:rsidP="00861DB8">
      <w:pPr>
        <w:pStyle w:val="NoSpacing"/>
        <w:jc w:val="both"/>
      </w:pPr>
    </w:p>
    <w:p w14:paraId="0826E994" w14:textId="77777777" w:rsidR="00861DB8" w:rsidRDefault="00861DB8" w:rsidP="00861DB8">
      <w:pPr>
        <w:pStyle w:val="NoSpacing"/>
        <w:numPr>
          <w:ilvl w:val="0"/>
          <w:numId w:val="8"/>
        </w:numPr>
        <w:jc w:val="both"/>
      </w:pPr>
      <w:r>
        <w:t>As regards subject choices,</w:t>
      </w:r>
      <w:r w:rsidRPr="0037761E">
        <w:t xml:space="preserve"> student</w:t>
      </w:r>
      <w:r>
        <w:t>s</w:t>
      </w:r>
      <w:r w:rsidRPr="0037761E">
        <w:t xml:space="preserve"> will be eligible </w:t>
      </w:r>
      <w:r>
        <w:t>to continue on their specific courses in</w:t>
      </w:r>
      <w:r w:rsidRPr="0037761E">
        <w:t xml:space="preserve"> Year 13 </w:t>
      </w:r>
      <w:r>
        <w:t xml:space="preserve">if they have achieved </w:t>
      </w:r>
      <w:r w:rsidRPr="00CD52C9">
        <w:rPr>
          <w:b/>
        </w:rPr>
        <w:t>overall ‘Pass’ grades (E or better in the case of A Levels) in at least three subjects</w:t>
      </w:r>
      <w:r w:rsidRPr="00CD147B">
        <w:rPr>
          <w:rStyle w:val="FootnoteReference"/>
        </w:rPr>
        <w:footnoteReference w:id="1"/>
      </w:r>
      <w:r w:rsidRPr="00CD52C9">
        <w:rPr>
          <w:b/>
        </w:rPr>
        <w:t xml:space="preserve"> in Threshold Exams and external modules (for vocational subjects)</w:t>
      </w:r>
      <w:r w:rsidRPr="0037761E">
        <w:t>.</w:t>
      </w:r>
    </w:p>
    <w:p w14:paraId="57DB88A3" w14:textId="77777777" w:rsidR="00861DB8" w:rsidRDefault="00861DB8" w:rsidP="00861DB8">
      <w:pPr>
        <w:pStyle w:val="NoSpacing"/>
        <w:jc w:val="both"/>
      </w:pPr>
    </w:p>
    <w:p w14:paraId="1C15C60F" w14:textId="182BFC37" w:rsidR="00861DB8" w:rsidRDefault="00861DB8" w:rsidP="00861DB8">
      <w:pPr>
        <w:pStyle w:val="NoSpacing"/>
        <w:numPr>
          <w:ilvl w:val="0"/>
          <w:numId w:val="8"/>
        </w:numPr>
        <w:jc w:val="both"/>
      </w:pPr>
      <w:r>
        <w:t xml:space="preserve">In the event of failure in one or more subjects, a discussion will take place with the Head of Sixth Form </w:t>
      </w:r>
      <w:r w:rsidR="008F4E4D">
        <w:t xml:space="preserve">and Performance Director </w:t>
      </w:r>
      <w:r>
        <w:t>about how to support the student in deciding upon the best course of action going forward.</w:t>
      </w:r>
    </w:p>
    <w:p w14:paraId="0A5BF60F" w14:textId="77777777" w:rsidR="00861DB8" w:rsidRDefault="00861DB8" w:rsidP="00861DB8">
      <w:pPr>
        <w:pStyle w:val="NoSpacing"/>
        <w:ind w:left="720"/>
        <w:jc w:val="both"/>
      </w:pPr>
    </w:p>
    <w:p w14:paraId="04FB514E" w14:textId="77777777" w:rsidR="00861DB8" w:rsidRDefault="00861DB8" w:rsidP="00861DB8">
      <w:pPr>
        <w:pStyle w:val="NoSpacing"/>
        <w:numPr>
          <w:ilvl w:val="0"/>
          <w:numId w:val="8"/>
        </w:numPr>
        <w:jc w:val="both"/>
      </w:pPr>
      <w:r w:rsidRPr="0037761E">
        <w:t>Where a student has not obtained three pass grades or better, they will be offered alternative available courses</w:t>
      </w:r>
      <w:r>
        <w:t>,</w:t>
      </w:r>
      <w:r w:rsidRPr="0037761E">
        <w:rPr>
          <w:b/>
        </w:rPr>
        <w:t xml:space="preserve"> </w:t>
      </w:r>
      <w:r>
        <w:t>provided that</w:t>
      </w:r>
      <w:r w:rsidRPr="0037761E">
        <w:t xml:space="preserve"> they</w:t>
      </w:r>
      <w:r w:rsidRPr="0037761E">
        <w:rPr>
          <w:b/>
        </w:rPr>
        <w:t xml:space="preserve"> </w:t>
      </w:r>
      <w:r w:rsidRPr="0037761E">
        <w:t>meet the subject</w:t>
      </w:r>
      <w:r>
        <w:t>-</w:t>
      </w:r>
      <w:r w:rsidRPr="0037761E">
        <w:t>specific entry criteria</w:t>
      </w:r>
      <w:r>
        <w:t xml:space="preserve"> for those alternative courses</w:t>
      </w:r>
      <w:r>
        <w:rPr>
          <w:rStyle w:val="FootnoteReference"/>
        </w:rPr>
        <w:footnoteReference w:id="2"/>
      </w:r>
      <w:r w:rsidRPr="0037761E">
        <w:rPr>
          <w:b/>
        </w:rPr>
        <w:t>.</w:t>
      </w:r>
      <w:r w:rsidRPr="0037761E">
        <w:t xml:space="preserve"> </w:t>
      </w:r>
    </w:p>
    <w:p w14:paraId="386AC520" w14:textId="77777777" w:rsidR="00861DB8" w:rsidRDefault="00861DB8" w:rsidP="00861DB8">
      <w:pPr>
        <w:pStyle w:val="NoSpacing"/>
        <w:jc w:val="both"/>
      </w:pPr>
    </w:p>
    <w:p w14:paraId="73192168" w14:textId="77777777" w:rsidR="00861DB8" w:rsidRDefault="00861DB8" w:rsidP="00861DB8">
      <w:pPr>
        <w:pStyle w:val="NoSpacing"/>
        <w:numPr>
          <w:ilvl w:val="0"/>
          <w:numId w:val="8"/>
        </w:numPr>
        <w:jc w:val="both"/>
      </w:pPr>
      <w:r w:rsidRPr="0037761E">
        <w:t>Additional advice</w:t>
      </w:r>
      <w:r>
        <w:t xml:space="preserve"> and guidance will be offered during</w:t>
      </w:r>
      <w:r w:rsidRPr="0037761E">
        <w:t xml:space="preserve"> </w:t>
      </w:r>
      <w:r>
        <w:t>any</w:t>
      </w:r>
      <w:r w:rsidRPr="0037761E">
        <w:t xml:space="preserve"> decision</w:t>
      </w:r>
      <w:r>
        <w:t>-making</w:t>
      </w:r>
      <w:r w:rsidRPr="0037761E">
        <w:t xml:space="preserve"> period to support </w:t>
      </w:r>
      <w:r>
        <w:t xml:space="preserve">students to reach decisions about the best course of action for them, in order </w:t>
      </w:r>
      <w:r w:rsidRPr="0037761E">
        <w:t xml:space="preserve">to resolve </w:t>
      </w:r>
      <w:r>
        <w:t xml:space="preserve">any </w:t>
      </w:r>
      <w:r w:rsidRPr="0037761E">
        <w:t>issues created by the Year 12 exam outcomes.</w:t>
      </w:r>
      <w:r>
        <w:t xml:space="preserve"> </w:t>
      </w:r>
      <w:r w:rsidRPr="00874188">
        <w:t>As part of any discussion about course change</w:t>
      </w:r>
      <w:r>
        <w:t>s</w:t>
      </w:r>
      <w:r w:rsidRPr="00874188">
        <w:t>, independent guidance from Y</w:t>
      </w:r>
      <w:r>
        <w:t xml:space="preserve">outh </w:t>
      </w:r>
      <w:r w:rsidRPr="00874188">
        <w:t>C</w:t>
      </w:r>
      <w:r>
        <w:t>onnections</w:t>
      </w:r>
      <w:r w:rsidRPr="00874188">
        <w:t xml:space="preserve"> Hertfordshire will be made available.</w:t>
      </w:r>
    </w:p>
    <w:p w14:paraId="2623893F" w14:textId="77777777" w:rsidR="00861DB8" w:rsidRDefault="00861DB8" w:rsidP="00861DB8">
      <w:pPr>
        <w:pStyle w:val="NoSpacing"/>
        <w:jc w:val="both"/>
      </w:pPr>
    </w:p>
    <w:p w14:paraId="3C54F01B" w14:textId="3DAA5A0C" w:rsidR="00861DB8" w:rsidRPr="0037761E" w:rsidRDefault="00861DB8" w:rsidP="00861DB8">
      <w:pPr>
        <w:pStyle w:val="NoSpacing"/>
        <w:numPr>
          <w:ilvl w:val="0"/>
          <w:numId w:val="8"/>
        </w:numPr>
        <w:jc w:val="both"/>
      </w:pPr>
      <w:r>
        <w:t xml:space="preserve">It will not be possible to re-take subjects which </w:t>
      </w:r>
      <w:r w:rsidR="008F4E4D">
        <w:t>were examined in Year 12.</w:t>
      </w:r>
    </w:p>
    <w:p w14:paraId="218C1AD2" w14:textId="77777777" w:rsidR="00861DB8" w:rsidRDefault="00861DB8" w:rsidP="00861DB8">
      <w:pPr>
        <w:pStyle w:val="NoSpacing"/>
        <w:jc w:val="both"/>
      </w:pPr>
    </w:p>
    <w:p w14:paraId="16EDAA0E" w14:textId="77777777" w:rsidR="00861DB8" w:rsidRDefault="00861DB8" w:rsidP="00861DB8">
      <w:pPr>
        <w:pStyle w:val="NoSpacing"/>
        <w:jc w:val="both"/>
      </w:pPr>
    </w:p>
    <w:p w14:paraId="36A1A4AB" w14:textId="77777777" w:rsidR="00861DB8" w:rsidRPr="00F36F51" w:rsidRDefault="00861DB8" w:rsidP="00861DB8"/>
    <w:p w14:paraId="7236F5D5" w14:textId="77777777" w:rsidR="004B19A9" w:rsidRDefault="004B19A9" w:rsidP="00861DB8">
      <w:pPr>
        <w:pStyle w:val="NoSpacing"/>
        <w:ind w:left="360"/>
        <w:jc w:val="center"/>
      </w:pPr>
    </w:p>
    <w:sectPr w:rsidR="004B19A9" w:rsidSect="001667EF">
      <w:pgSz w:w="11906" w:h="16838"/>
      <w:pgMar w:top="567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8F354" w14:textId="77777777" w:rsidR="00356041" w:rsidRDefault="00356041" w:rsidP="00861DB8">
      <w:pPr>
        <w:spacing w:after="0" w:line="240" w:lineRule="auto"/>
      </w:pPr>
      <w:r>
        <w:separator/>
      </w:r>
    </w:p>
  </w:endnote>
  <w:endnote w:type="continuationSeparator" w:id="0">
    <w:p w14:paraId="3347609E" w14:textId="77777777" w:rsidR="00356041" w:rsidRDefault="00356041" w:rsidP="0086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1411E" w14:textId="77777777" w:rsidR="00356041" w:rsidRDefault="00356041" w:rsidP="00861DB8">
      <w:pPr>
        <w:spacing w:after="0" w:line="240" w:lineRule="auto"/>
      </w:pPr>
      <w:r>
        <w:separator/>
      </w:r>
    </w:p>
  </w:footnote>
  <w:footnote w:type="continuationSeparator" w:id="0">
    <w:p w14:paraId="5203955F" w14:textId="77777777" w:rsidR="00356041" w:rsidRDefault="00356041" w:rsidP="00861DB8">
      <w:pPr>
        <w:spacing w:after="0" w:line="240" w:lineRule="auto"/>
      </w:pPr>
      <w:r>
        <w:continuationSeparator/>
      </w:r>
    </w:p>
  </w:footnote>
  <w:footnote w:id="1">
    <w:p w14:paraId="2E75AAF9" w14:textId="77777777" w:rsidR="00861DB8" w:rsidRPr="0037761E" w:rsidRDefault="00861DB8" w:rsidP="00861DB8">
      <w:pPr>
        <w:pStyle w:val="NoSpacing"/>
        <w:ind w:left="180" w:hanging="180"/>
        <w:jc w:val="both"/>
        <w:rPr>
          <w:b/>
          <w:i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F10385">
        <w:rPr>
          <w:i/>
          <w:sz w:val="20"/>
          <w:szCs w:val="20"/>
        </w:rPr>
        <w:t>Financial Studies and Mathematical Studies (Core Maths) are one year courses</w:t>
      </w:r>
      <w:r>
        <w:rPr>
          <w:i/>
          <w:sz w:val="20"/>
          <w:szCs w:val="20"/>
        </w:rPr>
        <w:t xml:space="preserve"> and, as such, do not count towards the three-</w:t>
      </w:r>
      <w:r w:rsidRPr="00F10385">
        <w:rPr>
          <w:i/>
          <w:sz w:val="20"/>
          <w:szCs w:val="20"/>
        </w:rPr>
        <w:t>pass minimum.</w:t>
      </w:r>
    </w:p>
    <w:p w14:paraId="732CD703" w14:textId="77777777" w:rsidR="00861DB8" w:rsidRDefault="00861DB8" w:rsidP="00861DB8">
      <w:pPr>
        <w:pStyle w:val="FootnoteText"/>
        <w:ind w:left="180" w:hanging="180"/>
      </w:pPr>
    </w:p>
  </w:footnote>
  <w:footnote w:id="2">
    <w:p w14:paraId="1A419603" w14:textId="724E70FD" w:rsidR="00861DB8" w:rsidRPr="00CD147B" w:rsidRDefault="00861DB8" w:rsidP="00861DB8">
      <w:pPr>
        <w:pStyle w:val="FootnoteText"/>
        <w:ind w:left="180" w:hanging="180"/>
        <w:jc w:val="both"/>
        <w:rPr>
          <w:rFonts w:ascii="Arial" w:hAnsi="Arial" w:cs="Arial"/>
          <w:i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CD147B">
        <w:rPr>
          <w:rFonts w:ascii="Arial" w:hAnsi="Arial" w:cs="Arial"/>
          <w:i/>
          <w:sz w:val="20"/>
          <w:szCs w:val="20"/>
        </w:rPr>
        <w:t>This may be achieved by adding new, academically appropriate, qualif</w:t>
      </w:r>
      <w:r w:rsidR="00383333">
        <w:rPr>
          <w:rFonts w:ascii="Arial" w:hAnsi="Arial" w:cs="Arial"/>
          <w:i/>
          <w:sz w:val="20"/>
          <w:szCs w:val="20"/>
        </w:rPr>
        <w:t>ications</w:t>
      </w:r>
      <w:r w:rsidR="008F4E4D">
        <w:rPr>
          <w:rFonts w:ascii="Arial" w:hAnsi="Arial" w:cs="Arial"/>
          <w:i/>
          <w:sz w:val="20"/>
          <w:szCs w:val="20"/>
        </w:rPr>
        <w:t xml:space="preserve"> (provided at their home school)</w:t>
      </w:r>
      <w:r w:rsidR="00383333">
        <w:rPr>
          <w:rFonts w:ascii="Arial" w:hAnsi="Arial" w:cs="Arial"/>
          <w:i/>
          <w:sz w:val="20"/>
          <w:szCs w:val="20"/>
        </w:rPr>
        <w:t xml:space="preserve"> </w:t>
      </w:r>
      <w:r w:rsidRPr="00CD147B">
        <w:rPr>
          <w:rFonts w:ascii="Arial" w:hAnsi="Arial" w:cs="Arial"/>
          <w:i/>
          <w:sz w:val="20"/>
          <w:szCs w:val="20"/>
        </w:rPr>
        <w:t>which, when added to subjects passed at the end of Year 12, generate sufficient total “guided learning hours” to maintain funding as a full-time student.  If no level 3 courses are available (i.e. a student doesn’t qualify for them), then we may offer level 2 courses, from the Key Stage 4 curriculum, to allow students to make up their “guided learning hours”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0306"/>
    <w:multiLevelType w:val="hybridMultilevel"/>
    <w:tmpl w:val="7E505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53AC6"/>
    <w:multiLevelType w:val="hybridMultilevel"/>
    <w:tmpl w:val="16E4A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B3710"/>
    <w:multiLevelType w:val="hybridMultilevel"/>
    <w:tmpl w:val="797CFE22"/>
    <w:lvl w:ilvl="0" w:tplc="2D4E52D0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A0FEC"/>
    <w:multiLevelType w:val="hybridMultilevel"/>
    <w:tmpl w:val="2B3AC2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000395"/>
    <w:multiLevelType w:val="hybridMultilevel"/>
    <w:tmpl w:val="E68C3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81FDE"/>
    <w:multiLevelType w:val="hybridMultilevel"/>
    <w:tmpl w:val="8AC2AE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A5524C"/>
    <w:multiLevelType w:val="hybridMultilevel"/>
    <w:tmpl w:val="0F1AA446"/>
    <w:lvl w:ilvl="0" w:tplc="D5D630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397A85"/>
    <w:multiLevelType w:val="hybridMultilevel"/>
    <w:tmpl w:val="FA2610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A9"/>
    <w:rsid w:val="00005D2E"/>
    <w:rsid w:val="000A3073"/>
    <w:rsid w:val="000B4E7C"/>
    <w:rsid w:val="000F64D9"/>
    <w:rsid w:val="00126DC7"/>
    <w:rsid w:val="001667EF"/>
    <w:rsid w:val="00192AC4"/>
    <w:rsid w:val="001E1754"/>
    <w:rsid w:val="002A5EB4"/>
    <w:rsid w:val="00356041"/>
    <w:rsid w:val="00383333"/>
    <w:rsid w:val="0038475E"/>
    <w:rsid w:val="00403E8E"/>
    <w:rsid w:val="00480D4B"/>
    <w:rsid w:val="004B19A9"/>
    <w:rsid w:val="005150DB"/>
    <w:rsid w:val="00563CF1"/>
    <w:rsid w:val="007D578E"/>
    <w:rsid w:val="008045C5"/>
    <w:rsid w:val="00861DB8"/>
    <w:rsid w:val="008F4E4D"/>
    <w:rsid w:val="009672B4"/>
    <w:rsid w:val="00997AC6"/>
    <w:rsid w:val="009D6949"/>
    <w:rsid w:val="00A16B75"/>
    <w:rsid w:val="00A61CA8"/>
    <w:rsid w:val="00A7263E"/>
    <w:rsid w:val="00A74644"/>
    <w:rsid w:val="00A761FE"/>
    <w:rsid w:val="00CC289E"/>
    <w:rsid w:val="00DC5589"/>
    <w:rsid w:val="00DE11B2"/>
    <w:rsid w:val="00E043B8"/>
    <w:rsid w:val="00E3700A"/>
    <w:rsid w:val="00E55253"/>
    <w:rsid w:val="00E715B7"/>
    <w:rsid w:val="00EF5DCB"/>
    <w:rsid w:val="00F55D12"/>
    <w:rsid w:val="00FA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1B3BC"/>
  <w15:docId w15:val="{D0C7CEB6-EF5D-42A9-BB97-F426B002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9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19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11B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61DB8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1DB8"/>
    <w:rPr>
      <w:rFonts w:ascii="Times New Roman" w:eastAsia="Times New Roman" w:hAnsi="Times New Roman" w:cs="Times New Roman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861D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Barter</dc:creator>
  <cp:lastModifiedBy>A. Harding</cp:lastModifiedBy>
  <cp:revision>2</cp:revision>
  <cp:lastPrinted>2020-03-16T10:15:00Z</cp:lastPrinted>
  <dcterms:created xsi:type="dcterms:W3CDTF">2020-03-17T12:33:00Z</dcterms:created>
  <dcterms:modified xsi:type="dcterms:W3CDTF">2020-03-17T12:33:00Z</dcterms:modified>
</cp:coreProperties>
</file>